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苏州革命博物馆基本陈列改版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苏州革命博物馆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51.91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51.84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.07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51.91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51.84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.07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51.91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51.84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苏州革命博物馆基本陈列改版（第一展厅质保金）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22.91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22.91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苏州革命博物馆基本陈列改版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28.93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改版及改造面积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=2947平方米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2258平方米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改版工程验收合格率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展陈设计与实施方案一致性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一致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改版完成及时性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项目总成本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&lt;1250万元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1000.88万元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讲解场次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=500场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1000场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接待观众人数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=12万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4.32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18.6万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提升公众的知晓度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&gt;25%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9.04%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开放天数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=300天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317天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讲解服务人次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=10000人次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20000人次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观众预约流程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=1个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1个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=95%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62.72</w:t>
            </w:r>
          </w:p>
        </w:tc>
      </w:tr>
    </w:tbl>
    <w:p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苏州革命博物馆是全市开展爱国主义教育和党史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学习</w:t>
            </w:r>
            <w:r>
              <w:rPr>
                <w:rFonts w:hint="eastAsia" w:cs="Arial"/>
                <w:color w:val="000000"/>
                <w:sz w:val="22"/>
              </w:rPr>
              <w:t>教育的重要阵地，是全市共产党员和广大中小学生的精神家园，建议利用此次改版机会，让老建筑焕发新面貌，呈现出形质统一、场馆内外协调的新景象，使之成为市民群众接受沉浸式教育、多方位感受苏州红色文化的重要阵地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通过此次调整版面内容数据解决基本陈列（第四展厅），对原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展板</w:t>
            </w:r>
            <w:r>
              <w:rPr>
                <w:rFonts w:hint="eastAsia" w:cs="Arial"/>
                <w:color w:val="000000"/>
                <w:sz w:val="22"/>
              </w:rPr>
              <w:t>上的截止至2022年的数据内容进行增加调整更新，2025年需对部分版面内容（包括相关数据，需要按年度进行更新；苏州实践取得的新成绩，在展览特定版块中需要得到体现，相应内容需要更新等）；按合同支付第一展厅质保金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通过此次调整版面内容数据解决基本陈列（第四展厅），对原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展板</w:t>
            </w:r>
            <w:bookmarkStart w:id="0" w:name="_GoBack"/>
            <w:bookmarkEnd w:id="0"/>
            <w:r>
              <w:rPr>
                <w:rFonts w:hint="eastAsia" w:cs="Arial"/>
                <w:color w:val="000000"/>
                <w:sz w:val="22"/>
              </w:rPr>
              <w:t>上的截止至2022年的数据内容进行增加调整更新，2025年需对部分版面内容（包括相关数据，需要按年度进行更新；苏州实践取得的新成绩，在展览特定版块中需要得到体现，相应内容需要更新等）；按合同支付第一展厅质保金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按照合同约定支付款项。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按照政府采购合同实施，加强项目监督管理。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QzY2I1MWMxYzQyMTEwOTg1MmI5MWVlODgwOGU2NjgifQ=="/>
  </w:docVars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4C6A5D67"/>
    <w:rsid w:val="5AE70A1F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228</Words>
  <Characters>1306</Characters>
  <Lines>10</Lines>
  <Paragraphs>3</Paragraphs>
  <TotalTime>21</TotalTime>
  <ScaleCrop>false</ScaleCrop>
  <LinksUpToDate>false</LinksUpToDate>
  <CharactersWithSpaces>1531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T</cp:lastModifiedBy>
  <dcterms:modified xsi:type="dcterms:W3CDTF">2026-09-30T06:24:24Z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2052-12.1.0.16120</vt:lpwstr>
  </property>
  <property fmtid="{D5CDD505-2E9C-101B-9397-08002B2CF9AE}" pid="4" name="ICV">
    <vt:lpwstr>9F669C4FED13413589140FF1E65A5D7A_12</vt:lpwstr>
  </property>
</Properties>
</file>